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УТВЕРЖДАЮ</w:t>
      </w:r>
      <w:r>
        <w:rPr>
          <w:rFonts w:ascii="Times New Roman" w:hAnsi="Times New Roman" w:cs="Times New Roman" w:eastAsia="Times New Roman"/>
          <w:b/>
          <w:color w:val="auto"/>
          <w:spacing w:val="0"/>
          <w:position w:val="0"/>
          <w:sz w:val="32"/>
          <w:shd w:fill="auto" w:val="clear"/>
        </w:rPr>
        <w:t xml:space="preserve">»</w:t>
      </w:r>
    </w:p>
    <w:p>
      <w:pPr>
        <w:spacing w:before="0" w:after="200" w:line="276"/>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ДИРЕКТОР</w:t>
      </w:r>
    </w:p>
    <w:p>
      <w:pPr>
        <w:spacing w:before="0" w:after="200" w:line="276"/>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___________</w:t>
      </w:r>
      <w:r>
        <w:rPr>
          <w:rFonts w:ascii="Times New Roman" w:hAnsi="Times New Roman" w:cs="Times New Roman" w:eastAsia="Times New Roman"/>
          <w:b/>
          <w:color w:val="auto"/>
          <w:spacing w:val="0"/>
          <w:position w:val="0"/>
          <w:sz w:val="32"/>
          <w:shd w:fill="auto" w:val="clear"/>
        </w:rPr>
        <w:t xml:space="preserve">Г.В.КОВАЛЕНКО</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КОСМЕТОЛОГИЯ</w:t>
      </w:r>
      <w:r>
        <w:rPr>
          <w:rFonts w:ascii="Times New Roman" w:hAnsi="Times New Roman" w:cs="Times New Roman" w:eastAsia="Times New Roman"/>
          <w:b/>
          <w:color w:val="auto"/>
          <w:spacing w:val="0"/>
          <w:position w:val="0"/>
          <w:sz w:val="32"/>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Категория слушателей: </w:t>
      </w:r>
      <w:r>
        <w:rPr>
          <w:rFonts w:ascii="Times New Roman" w:hAnsi="Times New Roman" w:cs="Times New Roman" w:eastAsia="Times New Roman"/>
          <w:color w:val="auto"/>
          <w:spacing w:val="0"/>
          <w:position w:val="0"/>
          <w:sz w:val="32"/>
          <w:shd w:fill="auto" w:val="clear"/>
        </w:rPr>
        <w:t xml:space="preserve">лица с высшим  и средним медицинским образованием</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Срок обучения: </w:t>
      </w:r>
      <w:r>
        <w:rPr>
          <w:rFonts w:ascii="Times New Roman" w:hAnsi="Times New Roman" w:cs="Times New Roman" w:eastAsia="Times New Roman"/>
          <w:color w:val="auto"/>
          <w:spacing w:val="0"/>
          <w:position w:val="0"/>
          <w:sz w:val="32"/>
          <w:shd w:fill="auto" w:val="clear"/>
        </w:rPr>
        <w:t xml:space="preserve">504 час. - 6 мес, при режиме 4 часа в день по 2-3 раза в неделю</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Форма обучения: </w:t>
      </w:r>
      <w:r>
        <w:rPr>
          <w:rFonts w:ascii="Times New Roman" w:hAnsi="Times New Roman" w:cs="Times New Roman" w:eastAsia="Times New Roman"/>
          <w:color w:val="auto"/>
          <w:spacing w:val="0"/>
          <w:position w:val="0"/>
          <w:sz w:val="32"/>
          <w:shd w:fill="auto" w:val="clear"/>
        </w:rPr>
        <w:t xml:space="preserve">очно-заочная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Санкт-Петербург 2014</w:t>
      </w: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ЦЕЛИ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Косметология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предназначена для приобретения слушателями необходимых знаний  и навыков по оказанию высококвалифицированной косметологической помощи и оказанию косметических услуг пациентам, для совершенствования знаний и умений по общим закономерностям возникновения и развития эстетических дефектов, освоение методов их коррекции, реабилитации и профилактики. Изучение вопросов организации оказания медицинской помощи по профилю косметология.  Рассматриваемые цели, задачи, функции, принципы и методы данной программы, содержания деятельности обеспечивают конкурентоспособность, социально-профессиональную мобильность и успешность будущих профессионалов. Изучение курса завершается выполнением выпускной квалификационной дипломной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обучения слушатель может овладеть способами познавательной деятельности, универсальными (надпредметными и межпредметными) умениями, способностью самостоятельной работы с информацией, ее анализу и применению.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виды учебных занятий – лекции, семинары, подготовка рефератов. Лекции призваны раскрыть теоретическое содержание дисциплины, показать проблемный характер современных концепций. Семинары предназначены для углубления и расширения полученных знаний, формирования у слушателей навыков анализа современных тенденций развития  косметологии. Подготовка рефератов имеет целью сформировать у слушателей умение правильно, в краткой форме излагать материал по содержанию дисциплин, умение анализировать информацию и применять ее в будущей профессии и жизни.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Важное место в учебном процессе занимает самостоятельная работа над учебным материалом. Она предназначена для закрепления и расширения полученных на занятиях знаний, приобщения слушателей к культуре учебного труда, знакомства с литературой по лечебной проблематике, с творчеством выдающихся представителей народной медицины, приобщения к самопознанию, формирования стремления к саморазвитию и самореализации.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2. </w:t>
      </w:r>
      <w:r>
        <w:rPr>
          <w:rFonts w:ascii="Times New Roman" w:hAnsi="Times New Roman" w:cs="Times New Roman" w:eastAsia="Times New Roman"/>
          <w:b/>
          <w:caps w:val="true"/>
          <w:color w:val="auto"/>
          <w:spacing w:val="0"/>
          <w:position w:val="0"/>
          <w:sz w:val="28"/>
          <w:shd w:fill="auto" w:val="clear"/>
        </w:rPr>
        <w:t xml:space="preserve">Требования к УРОВНЮ УСВОЕНИЯ</w:t>
      </w:r>
    </w:p>
    <w:p>
      <w:pPr>
        <w:tabs>
          <w:tab w:val="left" w:pos="41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изучения данной дисциплины слушатель должен:</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Знать: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общие закономерности происхождения и развития жизни, жизнедеятельности организма и законов генетики;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физические, химические, биологические и физиологические закономерности, процессов и явлений в норме и патологии;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строения, топографии и развития клеток, тканей, органов и систем организма во взаимосвязи с их функцией в норме и патологии, особенностей организменного и популяционного уровней организации жизни;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теоретические основы первой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уметь: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анализировать и оценивать состояние здоровья населения, влияние на него факторов окружающей и производственной среды, и качество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решать задачи, связанные с оказанием косметологической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в процессе профессиональной деятельности современные технологии косметических процедур;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организовать и участвовать в проведении агитационных мероприятий работ по внедрению здорового образа жизни среди населения.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владеть: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навыками применения современных методы научного познания, средств и методов педагогического воздействия на личность, знания общих и индивидуальных особенностей психики человека;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навыками проведения санитарно-просветительной работы среди детей, подростков, членов их семей и медицинского персонала с целью формирования здорового образа жизни;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навыками использования современных косметических средств и технологий косметических процедур</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навыками оказания первой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3. </w:t>
      </w:r>
      <w:r>
        <w:rPr>
          <w:rFonts w:ascii="Times New Roman" w:hAnsi="Times New Roman" w:cs="Times New Roman" w:eastAsia="Times New Roman"/>
          <w:b/>
          <w:caps w:val="true"/>
          <w:color w:val="auto"/>
          <w:spacing w:val="0"/>
          <w:position w:val="0"/>
          <w:sz w:val="28"/>
          <w:shd w:fill="auto" w:val="clear"/>
        </w:rPr>
        <w:t xml:space="preserve">ВИДЫ УЧЕБНОЙ НАГРУЗКИ (УЧЕБНЫЙ ПЛАН)</w:t>
      </w:r>
    </w:p>
    <w:p>
      <w:pPr>
        <w:spacing w:before="0" w:after="0" w:line="240"/>
        <w:ind w:right="0" w:left="0" w:firstLine="0"/>
        <w:jc w:val="both"/>
        <w:rPr>
          <w:rFonts w:ascii="Times New Roman" w:hAnsi="Times New Roman" w:cs="Times New Roman" w:eastAsia="Times New Roman"/>
          <w:caps w:val="true"/>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Учебный план рассчитан как на единовременное, так и на поэтапное освоение в виде модулей – долгосрочных и краткосрочных повышений квалификации по отдельным дисциплинам на базе высшего и среднего медицинского образования.</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tbl>
      <w:tblPr/>
      <w:tblGrid>
        <w:gridCol w:w="960"/>
        <w:gridCol w:w="3712"/>
        <w:gridCol w:w="1120"/>
        <w:gridCol w:w="1116"/>
        <w:gridCol w:w="1084"/>
        <w:gridCol w:w="1579"/>
      </w:tblGrid>
      <w:tr>
        <w:trPr>
          <w:trHeight w:val="1" w:hRule="atLeast"/>
          <w:jc w:val="left"/>
        </w:trPr>
        <w:tc>
          <w:tcPr>
            <w:tcW w:w="9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caps w:val="true"/>
                <w:color w:val="auto"/>
                <w:spacing w:val="0"/>
                <w:position w:val="0"/>
                <w:sz w:val="28"/>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371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дисциплин и их разделов</w:t>
            </w:r>
          </w:p>
        </w:tc>
        <w:tc>
          <w:tcPr>
            <w:tcW w:w="11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 часов</w:t>
            </w:r>
          </w:p>
        </w:tc>
        <w:tc>
          <w:tcPr>
            <w:tcW w:w="22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том числе</w:t>
            </w:r>
          </w:p>
        </w:tc>
        <w:tc>
          <w:tcPr>
            <w:tcW w:w="157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контроля</w:t>
            </w:r>
          </w:p>
        </w:tc>
      </w:tr>
      <w:tr>
        <w:trPr>
          <w:trHeight w:val="1" w:hRule="atLeast"/>
          <w:jc w:val="left"/>
        </w:trPr>
        <w:tc>
          <w:tcPr>
            <w:tcW w:w="9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rFonts w:ascii="Calibri" w:hAnsi="Calibri" w:cs="Calibri" w:eastAsia="Calibri"/>
                <w:color w:val="auto"/>
                <w:spacing w:val="0"/>
                <w:position w:val="0"/>
                <w:sz w:val="22"/>
                <w:shd w:fill="auto" w:val="clear"/>
              </w:rPr>
            </w:pPr>
          </w:p>
        </w:tc>
        <w:tc>
          <w:tcPr>
            <w:tcW w:w="371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rFonts w:ascii="Calibri" w:hAnsi="Calibri" w:cs="Calibri" w:eastAsia="Calibri"/>
                <w:color w:val="auto"/>
                <w:spacing w:val="0"/>
                <w:position w:val="0"/>
                <w:sz w:val="22"/>
                <w:shd w:fill="auto" w:val="clear"/>
              </w:rPr>
            </w:pPr>
          </w:p>
        </w:tc>
        <w:tc>
          <w:tcPr>
            <w:tcW w:w="11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rFonts w:ascii="Calibri" w:hAnsi="Calibri" w:cs="Calibri" w:eastAsia="Calibri"/>
                <w:color w:val="auto"/>
                <w:spacing w:val="0"/>
                <w:position w:val="0"/>
                <w:sz w:val="22"/>
                <w:shd w:fill="auto" w:val="clear"/>
              </w:rPr>
            </w:pP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Ауд. лекц.</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Внеауд</w:t>
            </w:r>
          </w:p>
        </w:tc>
        <w:tc>
          <w:tcPr>
            <w:tcW w:w="157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9571"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ОД.00 Общепрофессиональные дисциплины</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ОД.01</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Управление качеством жизни и здоровьем</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ОД.02</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медицинских знаний</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ОД.03</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первой медицинской помощи</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ОД.04</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психологии общения</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571"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СД.00 Специальные дисциплины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СД.01</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Дерматокосметология</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СД.02</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Технология косметических процедур</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СД.03</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Аппаратная косметология</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СД.04</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Декоративная косметология</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СД.05</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здорового питания. Здоровое питание и внешний вид</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СД.06</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Оборудование косметического кабинета</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СД.07</w:t>
            </w: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Косметические средства</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45" w:hRule="auto"/>
          <w:jc w:val="left"/>
        </w:trPr>
        <w:tc>
          <w:tcPr>
            <w:tcW w:w="4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ДВ.00 Дисциплины по выбору</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46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Выпускная квалификационная дипломная работа</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72</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защита</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504</w:t>
            </w:r>
          </w:p>
        </w:tc>
        <w:tc>
          <w:tcPr>
            <w:tcW w:w="1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222</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282</w:t>
            </w:r>
          </w:p>
        </w:tc>
        <w:tc>
          <w:tcPr>
            <w:tcW w:w="1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Зачетов -14</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Экз- 3</w:t>
            </w:r>
          </w:p>
        </w:tc>
      </w:tr>
    </w:tbl>
    <w:p>
      <w:pPr>
        <w:spacing w:before="0" w:after="0" w:line="240"/>
        <w:ind w:right="0" w:left="0" w:firstLine="0"/>
        <w:jc w:val="both"/>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4. </w:t>
      </w:r>
      <w:r>
        <w:rPr>
          <w:rFonts w:ascii="Times New Roman" w:hAnsi="Times New Roman" w:cs="Times New Roman" w:eastAsia="Times New Roman"/>
          <w:b/>
          <w:caps w:val="true"/>
          <w:color w:val="auto"/>
          <w:spacing w:val="0"/>
          <w:position w:val="0"/>
          <w:sz w:val="28"/>
          <w:shd w:fill="auto" w:val="clear"/>
        </w:rPr>
        <w:t xml:space="preserve">Содержание дисциплины</w:t>
      </w:r>
    </w:p>
    <w:p>
      <w:pPr>
        <w:tabs>
          <w:tab w:val="left" w:pos="418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764"/>
        <w:gridCol w:w="2175"/>
        <w:gridCol w:w="6632"/>
      </w:tblGrid>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п/п</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Наименование</w:t>
            </w:r>
          </w:p>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дисциплин</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Содержание дисциплин</w:t>
            </w:r>
          </w:p>
        </w:tc>
      </w:tr>
      <w:tr>
        <w:trPr>
          <w:trHeight w:val="1" w:hRule="atLeast"/>
          <w:jc w:val="left"/>
        </w:trPr>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ОД.00 Общепрофессиональные дисциплины</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ОД.01</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Управление качеством жизни и здоровьем</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Качество жизни как социально-экономическая категория. Подходы к оценке качества жизни и здоровья. Макро- и микроэкономические показатели уровня жизни населения. Систематизирующие факторы качества жизни. Проблемы рекреационной среды. Показатели качества жизни. Качество трудовой жизни. Теории мотивации, определяющие удовлетворенность человека своим трудом. Проблема качества жизни. Маркетинг качества жизни и здоровья.</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ОД.02</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медицинских знаний</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понятия и определения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дисциплины ОМЗ. Цель и задачи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предмета. Определение понятий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здоровья и болезнь. Индивидуальное и общественное здоровье. Понятие о болезни. Основные принципы профилактики. Структура и анализ заболеваемости детей различных возрастных групп. Основы микробиологии и эпидемиологии. Основы иммунологии. Основные группы инфекционных заболеваний. Меры профилактики.  Понятие о неотложных состояниях.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Причины и факторы их вызывающие. </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ОД.03</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первой медицинской помощи</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о первой помощи. Средства оказания первой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о травме. Закрытые травмы. Открытые травмы. Раны и кровотечения. Открытые переломы. Ожоги и обморожения. Электротравма. Укусы животных, насекомых, змей. Отравления ядовитыми растениями, грибами. Утопление, удушье, отравление угарным газом. Инородные тела дыхательных путей и помощь при них. Способы транспортировки пострадавших. Понятие о неотложных состояниях и помощь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них. Понятие о терминальных состояниях. Сердечно-легочная реанимация.</w:t>
            </w:r>
          </w:p>
          <w:p>
            <w:pPr>
              <w:spacing w:before="0" w:after="0" w:line="240"/>
              <w:ind w:right="0" w:left="0" w:firstLine="0"/>
              <w:jc w:val="both"/>
              <w:rPr>
                <w:color w:val="auto"/>
                <w:spacing w:val="0"/>
                <w:position w:val="0"/>
                <w:shd w:fill="auto" w:val="clear"/>
              </w:rPr>
            </w:pP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Д.04</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психологии общения</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межличностных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общественных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отношений. Социальная роль.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Конфликты и способы их предупреждения и разрешения. Этические формы общения. Общие сведения об этической культуре.</w:t>
            </w:r>
          </w:p>
        </w:tc>
      </w:tr>
      <w:tr>
        <w:trPr>
          <w:trHeight w:val="1" w:hRule="atLeast"/>
          <w:jc w:val="left"/>
        </w:trPr>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СД.00 Специальные дисциплины</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СД.01</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Дерматокосметология</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Место дисциплины в структуре основной образовательной программы. Основы дерматологии. Теоретические основы косметологии.  Анатомия и физиология кожи и ее придатков; комплекса мимических мышц головы и шеи; подкожной жировой ткани и ее стромы, кровоснабжение и иннервация. Морфофункциональная характеристика кожи различных анатомических областей тела. Возрастные, половые и расовые особенности строения кожи. Секреторная и экскреторная функция кожи. Защитная функция кожи. Волосы. Морфофункциональные особенности. Стадии развития волос. Физиология волос в различные возрастные периоды. Анатомия и функция ногтевого ложа и ногтевых пластин. Физиология сальных и потовых желез в разные возрастные периоды и при различных физиологических состояниях. Физиология артериального и венозного русел комплекса покровных тканей. Многофункциональная характеристика покровных тканей человеческого организма. </w:t>
            </w:r>
            <w:r>
              <w:rPr>
                <w:rFonts w:ascii="Times New Roman" w:hAnsi="Times New Roman" w:cs="Times New Roman" w:eastAsia="Times New Roman"/>
                <w:color w:val="000000"/>
                <w:spacing w:val="0"/>
                <w:position w:val="0"/>
                <w:sz w:val="28"/>
                <w:shd w:fill="auto" w:val="clear"/>
              </w:rPr>
              <w:t xml:space="preserve">Действие методов традиционной медицины в косметологии. </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СД.02</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Технология косметических процедур по лицу и телу</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дерматологии, физиологии и анатомии человека.   Функциональное значение кожи, как органа человеческого организма. Гистологическое строение кожи. Цитологический состав кожи . Сосуды кожи (венозное и лимфатическое русло, артериовенозные анастамозы). Механизмы местного иммунитета кожи. Иннервации кожи. Натуротерапия и SPA-косметология. Системы косметических процедур. </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СД.03</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Аппаратная косметология</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42" w:leader="none"/>
              </w:tabs>
              <w:spacing w:before="0" w:after="0" w:line="240"/>
              <w:ind w:right="0" w:left="79" w:firstLine="0"/>
              <w:jc w:val="both"/>
              <w:rPr>
                <w:position w:val="0"/>
              </w:rPr>
            </w:pPr>
            <w:r>
              <w:rPr>
                <w:rFonts w:ascii="Times New Roman" w:hAnsi="Times New Roman" w:cs="Times New Roman" w:eastAsia="Times New Roman"/>
                <w:color w:val="000000"/>
                <w:spacing w:val="-4"/>
                <w:position w:val="0"/>
                <w:sz w:val="28"/>
                <w:shd w:fill="FFFFFF" w:val="clear"/>
              </w:rPr>
              <w:t xml:space="preserve">Возможности аппаратной косметологии в решении многих проблем кожи лица: увядания, лечения акне, пигментации и т.д.  Показания, противопоказания к аппаратным методам лечения.  Сочетание с консервативными методами коррекции. Технические возможности, устройство аппарата. Возможности аппаратной косметологии в лечении целлюлита и коррекции фигуры.</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СД.04</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Декоративная косметология</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Виды ухода за кожей (очищение, питание, защита) и их применение для различных типов кожи. Понятие и назначение демакияжа. Косметические средства для демакияжа. Технология демакияжа: последовательность, приемы выполнения. Уход за кожей лица с помощью косметических кремов.</w:t>
            </w: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СД.05</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здорового питания. Здоровое питание и внешний вид.</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Теоретические основы питания людей. Баланс веществ и энергии. Рациональное питание. Формула здорового питания. Соотношение питательных веществ в рационе питания. Законы здорового питания. Азбука здорового питания.  Нормы суточной потребности в питательных веществах для людей разного пола, возраста и интенсивности труда. Особенности питания людей в разные возрастные периоды. Содержание питательных веществ в продуктах разного происхождения.</w:t>
            </w:r>
          </w:p>
          <w:p>
            <w:pPr>
              <w:spacing w:before="0" w:after="0" w:line="240"/>
              <w:ind w:right="0" w:left="0" w:firstLine="0"/>
              <w:jc w:val="both"/>
              <w:rPr>
                <w:color w:val="auto"/>
                <w:spacing w:val="0"/>
                <w:position w:val="0"/>
                <w:shd w:fill="auto" w:val="clear"/>
              </w:rPr>
            </w:pP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СД.06</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Оборудование косметического кабинета</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Санитарные нормы и правила размещения, устройства и оборудования кабинета и/или отделения косметологии. Гигиенические требования к помещениям, естественному и искусственному освещению, вентиляции. Гигиенические требования к условиям труда. Вредные и опасные производственные факторы и профессиональные заболевания. Асептика и антисептика в условиях кабинета, отделения косметологии. Техника безопасности при эксплуатации медицинского оборудования. Асептика и антисептика в условиях кабинета, отделения косметологии. </w:t>
            </w:r>
          </w:p>
          <w:p>
            <w:pPr>
              <w:spacing w:before="0" w:after="0" w:line="240"/>
              <w:ind w:right="0" w:left="0" w:firstLine="0"/>
              <w:jc w:val="both"/>
              <w:rPr>
                <w:color w:val="auto"/>
                <w:spacing w:val="0"/>
                <w:position w:val="0"/>
                <w:shd w:fill="auto" w:val="clear"/>
              </w:rPr>
            </w:pPr>
          </w:p>
        </w:tc>
      </w:tr>
      <w:tr>
        <w:trPr>
          <w:trHeight w:val="1" w:hRule="atLeast"/>
          <w:jc w:val="left"/>
        </w:trPr>
        <w:tc>
          <w:tcPr>
            <w:tcW w:w="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СД.07</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18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Косметические средства</w:t>
            </w:r>
          </w:p>
        </w:tc>
        <w:tc>
          <w:tcPr>
            <w:tcW w:w="6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Вещества, входящие в состав косметических средств. Виды косметических средств. Уходовые и декоративные косметические средства, очищающие и увлажняющие маски, пилинги, гоммажи, скрабы. Использование лекарственных растений и их сборов для фитотерапии распространенных заболеваний, основные принципы гомеопатической медицины, технологии изготовления гомеопатических лекарственных форм, методология выбора эффективного и безопасного гомеопатического средства для индивидуализированной фармакотерапии, основы медицинской косметики, клиническая фармакология косметических лекарственных средств и рецептура  при наиболее часто встречающихся заболеваниях и косметических недостатках кожи.</w:t>
            </w:r>
          </w:p>
        </w:tc>
      </w:tr>
    </w:tbl>
    <w:p>
      <w:pPr>
        <w:tabs>
          <w:tab w:val="left" w:pos="418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aps w:val="true"/>
          <w:color w:val="auto"/>
          <w:spacing w:val="0"/>
          <w:position w:val="0"/>
          <w:sz w:val="28"/>
          <w:shd w:fill="auto" w:val="clear"/>
        </w:rPr>
        <w:t xml:space="preserve">. </w:t>
      </w:r>
      <w:r>
        <w:rPr>
          <w:rFonts w:ascii="Times New Roman" w:hAnsi="Times New Roman" w:cs="Times New Roman" w:eastAsia="Times New Roman"/>
          <w:b/>
          <w:caps w:val="true"/>
          <w:color w:val="auto"/>
          <w:spacing w:val="0"/>
          <w:position w:val="0"/>
          <w:sz w:val="28"/>
          <w:shd w:fill="auto" w:val="clear"/>
        </w:rPr>
        <w:t xml:space="preserve">образовательные технологии</w:t>
      </w:r>
    </w:p>
    <w:p>
      <w:pPr>
        <w:tabs>
          <w:tab w:val="left" w:pos="418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образовательном процессе при подготовке специалистов используются следующие образовательные технологии: проблемная лекция, устное реферирование литературы, дискуссии, ролевые игры, тестирование, эссе, и другие интерактивные техники. Самостоятельная работа слушателей включает усвоение теоретического материала, подготовка к семинарам, выполнение творческих заданий, написание рефератов, тезисов. Подготовка презентаций по теме, проверочные тесты. Консультирование слушателей по вопросам учебного материала, в подготовке докладов на конференцию. </w:t>
      </w: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4185"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6. </w:t>
      </w:r>
      <w:r>
        <w:rPr>
          <w:rFonts w:ascii="Times New Roman" w:hAnsi="Times New Roman" w:cs="Times New Roman" w:eastAsia="Times New Roman"/>
          <w:b/>
          <w:caps w:val="true"/>
          <w:color w:val="auto"/>
          <w:spacing w:val="0"/>
          <w:position w:val="0"/>
          <w:sz w:val="28"/>
          <w:shd w:fill="auto" w:val="clear"/>
        </w:rPr>
        <w:t xml:space="preserve">Оценочные средства для текущего контроля успеваемости, промежуточной аттестации по итогам освоения дисциплины </w:t>
      </w:r>
    </w:p>
    <w:p>
      <w:pPr>
        <w:tabs>
          <w:tab w:val="left" w:pos="418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Оценочные средства для текущего контроля успеваемости, промежуточной аттестации по итогам освоения дисциплин это:</w:t>
      </w:r>
    </w:p>
    <w:p>
      <w:pPr>
        <w:numPr>
          <w:ilvl w:val="0"/>
          <w:numId w:val="125"/>
        </w:numPr>
        <w:tabs>
          <w:tab w:val="left" w:pos="4185" w:leader="none"/>
        </w:tabs>
        <w:spacing w:before="0" w:after="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вопросы к практическим занятиям;</w:t>
      </w:r>
    </w:p>
    <w:p>
      <w:pPr>
        <w:numPr>
          <w:ilvl w:val="0"/>
          <w:numId w:val="125"/>
        </w:numPr>
        <w:tabs>
          <w:tab w:val="left" w:pos="4185" w:leader="none"/>
        </w:tabs>
        <w:spacing w:before="0" w:after="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темы докладов и рефератов;</w:t>
      </w:r>
    </w:p>
    <w:p>
      <w:pPr>
        <w:numPr>
          <w:ilvl w:val="0"/>
          <w:numId w:val="125"/>
        </w:numPr>
        <w:tabs>
          <w:tab w:val="left" w:pos="4185" w:leader="none"/>
        </w:tabs>
        <w:spacing w:before="0" w:after="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тесты по отдельным темам и модулям;</w:t>
      </w:r>
    </w:p>
    <w:p>
      <w:pPr>
        <w:numPr>
          <w:ilvl w:val="0"/>
          <w:numId w:val="125"/>
        </w:numPr>
        <w:tabs>
          <w:tab w:val="left" w:pos="4185" w:leader="none"/>
        </w:tabs>
        <w:spacing w:before="0" w:after="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контрольные вопросы к зачету.</w:t>
      </w:r>
    </w:p>
    <w:p>
      <w:pPr>
        <w:tabs>
          <w:tab w:val="left" w:pos="418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Разнообразные оценочные средства направлены на выявление качества усвоенного материала, степени сформированности системного критического мышления и рефлексии, умение оперирования специальными понятиями, овладение методами самостоятельной, учебно-познавательной деятельностью.</w:t>
      </w:r>
    </w:p>
    <w:p>
      <w:pPr>
        <w:tabs>
          <w:tab w:val="left" w:pos="418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МЕТОДИЧЕСКИЕ РЕКОМЕНДАЦИИ СЛУШАТЕЛЯМ ПО ОРГАНИЗАЦИИ ИЗУЧЕНИЯ ДИСЦИПЛИНЫ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Учебные задания для практических занятий подготовлены в соответствии с требованиями Государственного образовательного стандарта высшего профессионального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Успех в учебной деятельности зависит от следующих требований, которые необходимо помнить и выполнять слушателю. Каждому занятию должна предшествовать самостоятельная работа (СРС) на лекциях (конспектирование и дискуссия), на семинарских, практических занятиях (заслушивание и обсуждение рефератов, запись интересной и нужной информации, участие в тестировании), а также вне аудитории (подготовка рефератов, просмотр литературы и конспектов).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подготовке к занятию пользоваться разнообразными источниками информации: Интернет-ресурсы, справочная и энциклопедическая, научная литература, учебники и учебные пособия.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подготовке к сообщениям и рефератам необходимо давать анализ проблемы, пути ее решения на альтернативной основе и способы творческого применения в практической деятельности на основе использованной информации и опыта творческой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8. </w:t>
      </w:r>
      <w:r>
        <w:rPr>
          <w:rFonts w:ascii="Times New Roman" w:hAnsi="Times New Roman" w:cs="Times New Roman" w:eastAsia="Times New Roman"/>
          <w:b/>
          <w:color w:val="auto"/>
          <w:spacing w:val="0"/>
          <w:position w:val="0"/>
          <w:sz w:val="28"/>
          <w:shd w:fill="FFFFFF" w:val="clear"/>
        </w:rPr>
        <w:t xml:space="preserve">МЕТОДИЧЕСКИЕ РЕКОМЕНДАЦИИ ПРЕПОДАВАТЕЛЯМ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МЕТОДИКЕ ПРОВЕДЕНИЯ УЧЕБНЫХ ЗАНЯТИЙ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преподаватель разрабатывает свой авторский вариант тематики занятий на основе государственного стандарта. Но при этом исходит из конкретных условий вуза: количества учебного времени на предмет и его связей с другими предметами, возможностей библиотечного фонда, технической оснащенности – видео, компьютеры; определенного уровня способностей к самообразованию у обучаемых бакалавров.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Самостоятельная подготовка к семинарам заключается как в просмотре и изучении конспектов лекций, работе с литературой (чтение, выписки), так и в изложении материала в реферативной форме.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изучения материала следует пытаться устанавливать межпредметные связи, стремиться подбирать к теоретическим положениям примеры и дополнения из литературы и личного жизненного опыта.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Разнообразить проведение лекции с использованием интерактивных техник (лекция-дискуссия, лекция-диалог, проблемная лекция, лекция-прессконференция, лекция-визуализация).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на занятиях организовывать в активной форме на основе педагогики сотрудничества (субъект-субъектных взаимоотношений).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должно быть личностно и профессионально ориентированным и проходить на творческом уровне освоения содержания дисциплины для повышения учебно-позновательной активности и формирования общекультурных и профессиональных компетенций слушателей.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Руководить самостоятельной познавательной деятельностью слушателей посредством проведения групповых и индивидуальных консультаций, отчета.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курса нельзя сводить к заучиванию различных определений, хотя их и надлежит уметь воспроизвести точно. Главное – не дословное запоминание, а осмысливание сущности специальных научных понятий. Материал можно считать усвоенным только тогда, когда удастся свободно воспроизвести его своими словами и проиллюстрировать собственными примерами. С этой целью к каждому занятию слушателям будет предлагаться специальный глоссарий научных терминов, которые помогут им соотносить термины со специальными понятиями (смыслами).</w:t>
      </w:r>
    </w:p>
    <w:p>
      <w:pPr>
        <w:tabs>
          <w:tab w:val="left" w:pos="418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418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